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AF210">
      <w:pPr>
        <w:spacing w:before="120" w:beforeLines="50"/>
        <w:jc w:val="center"/>
        <w:rPr>
          <w:rFonts w:ascii="方正小标宋_GBK" w:hAnsi="仿宋" w:eastAsia="方正小标宋_GBK" w:cs="仿宋"/>
          <w:bCs/>
          <w:sz w:val="36"/>
          <w:szCs w:val="36"/>
          <w:lang w:eastAsia="zh-CN"/>
        </w:rPr>
      </w:pPr>
      <w:r>
        <w:rPr>
          <w:rFonts w:hint="eastAsia" w:ascii="方正小标宋_GBK" w:hAnsi="仿宋" w:eastAsia="方正小标宋_GBK" w:cs="仿宋"/>
          <w:bCs/>
          <w:sz w:val="36"/>
          <w:szCs w:val="36"/>
          <w:lang w:eastAsia="zh-CN"/>
        </w:rPr>
        <w:t>轨道交通智能检测工程中心（第一期）合同草案</w:t>
      </w:r>
    </w:p>
    <w:p w14:paraId="1EC7D9C8">
      <w:pPr>
        <w:spacing w:before="120" w:beforeLines="50"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甲方</w:t>
      </w:r>
      <w:r>
        <w:rPr>
          <w:rFonts w:hint="eastAsia" w:ascii="仿宋_GB2312" w:hAnsi="仿宋_GB2312" w:eastAsia="仿宋_GB2312" w:cs="仿宋_GB2312"/>
          <w:sz w:val="28"/>
          <w:szCs w:val="28"/>
          <w:u w:val="single"/>
          <w:lang w:eastAsia="zh-CN"/>
        </w:rPr>
        <w:t xml:space="preserve">：四川铁道职业学院 </w:t>
      </w:r>
      <w:r>
        <w:rPr>
          <w:rFonts w:hint="eastAsia" w:ascii="仿宋_GB2312" w:hAnsi="仿宋_GB2312" w:eastAsia="仿宋_GB2312" w:cs="仿宋_GB2312"/>
          <w:sz w:val="28"/>
          <w:szCs w:val="28"/>
          <w:lang w:eastAsia="zh-CN"/>
        </w:rPr>
        <w:t xml:space="preserve">          签订时间：</w:t>
      </w:r>
      <w:r>
        <w:rPr>
          <w:rFonts w:hint="eastAsia" w:ascii="仿宋_GB2312" w:hAnsi="仿宋_GB2312" w:eastAsia="仿宋_GB2312" w:cs="仿宋_GB2312"/>
          <w:sz w:val="28"/>
          <w:szCs w:val="28"/>
          <w:u w:val="single"/>
          <w:lang w:eastAsia="zh-CN"/>
        </w:rPr>
        <w:t xml:space="preserve">  年  月  日</w:t>
      </w:r>
    </w:p>
    <w:p w14:paraId="1EEB2506">
      <w:pPr>
        <w:spacing w:before="120" w:beforeLines="50"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乙方</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签订地点：</w:t>
      </w:r>
      <w:r>
        <w:rPr>
          <w:rFonts w:hint="eastAsia" w:ascii="仿宋_GB2312" w:hAnsi="仿宋_GB2312" w:eastAsia="仿宋_GB2312" w:cs="仿宋_GB2312"/>
          <w:sz w:val="28"/>
          <w:szCs w:val="28"/>
          <w:u w:val="single"/>
          <w:lang w:eastAsia="zh-CN"/>
        </w:rPr>
        <w:t>成都市郫都区</w:t>
      </w:r>
    </w:p>
    <w:p w14:paraId="3E5B5945">
      <w:pPr>
        <w:spacing w:before="120" w:beforeLines="50"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根据《中华人民共和</w:t>
      </w:r>
      <w:bookmarkStart w:id="1" w:name="_GoBack"/>
      <w:bookmarkEnd w:id="1"/>
      <w:r>
        <w:rPr>
          <w:rFonts w:hint="eastAsia" w:ascii="仿宋_GB2312" w:hAnsi="仿宋_GB2312" w:eastAsia="仿宋_GB2312" w:cs="仿宋_GB2312"/>
          <w:sz w:val="28"/>
          <w:szCs w:val="28"/>
          <w:lang w:eastAsia="zh-CN"/>
        </w:rPr>
        <w:t xml:space="preserve">国政府采购法》、《中华人民共和国民法典》、四川铁道职业学院 </w:t>
      </w:r>
      <w:r>
        <w:rPr>
          <w:rFonts w:hint="eastAsia" w:ascii="仿宋_GB2312" w:hAnsi="仿宋_GB2312" w:eastAsia="仿宋_GB2312" w:cs="仿宋_GB2312"/>
          <w:sz w:val="28"/>
          <w:szCs w:val="28"/>
          <w:u w:val="single"/>
          <w:lang w:eastAsia="zh-CN"/>
        </w:rPr>
        <w:t>轨道交通智能检测工程中心（第一期）</w:t>
      </w:r>
      <w:r>
        <w:rPr>
          <w:rFonts w:hint="eastAsia" w:ascii="仿宋_GB2312" w:hAnsi="仿宋_GB2312" w:eastAsia="仿宋_GB2312" w:cs="仿宋_GB2312"/>
          <w:sz w:val="28"/>
          <w:szCs w:val="28"/>
          <w:lang w:eastAsia="zh-CN"/>
        </w:rPr>
        <w:t xml:space="preserve"> 项目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14:paraId="609E646F">
      <w:pPr>
        <w:tabs>
          <w:tab w:val="left" w:pos="7665"/>
        </w:tabs>
        <w:spacing w:line="360" w:lineRule="auto"/>
        <w:ind w:firstLine="562" w:firstLineChars="200"/>
        <w:rPr>
          <w:rFonts w:ascii="仿宋_GB2312" w:hAnsi="仿宋" w:eastAsia="仿宋_GB2312" w:cs="仿宋"/>
          <w:b/>
          <w:sz w:val="28"/>
          <w:szCs w:val="28"/>
          <w:lang w:eastAsia="zh-CN"/>
        </w:rPr>
      </w:pPr>
      <w:r>
        <w:rPr>
          <w:rFonts w:hint="eastAsia" w:ascii="仿宋_GB2312" w:hAnsi="仿宋" w:eastAsia="仿宋_GB2312" w:cs="仿宋"/>
          <w:b/>
          <w:sz w:val="28"/>
          <w:szCs w:val="28"/>
          <w:lang w:eastAsia="zh-CN"/>
        </w:rPr>
        <w:t>1.合同货物一览表（请按实际中标金额填写）</w:t>
      </w:r>
    </w:p>
    <w:tbl>
      <w:tblPr>
        <w:tblStyle w:val="6"/>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2718"/>
        <w:gridCol w:w="1426"/>
        <w:gridCol w:w="1058"/>
        <w:gridCol w:w="1018"/>
        <w:gridCol w:w="1297"/>
        <w:gridCol w:w="1056"/>
      </w:tblGrid>
      <w:tr w14:paraId="19727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8" w:type="dxa"/>
            <w:tcBorders>
              <w:top w:val="single" w:color="auto" w:sz="4" w:space="0"/>
              <w:left w:val="single" w:color="auto" w:sz="4" w:space="0"/>
              <w:bottom w:val="single" w:color="auto" w:sz="4" w:space="0"/>
              <w:right w:val="single" w:color="auto" w:sz="4" w:space="0"/>
            </w:tcBorders>
            <w:noWrap/>
            <w:vAlign w:val="center"/>
          </w:tcPr>
          <w:p w14:paraId="28586616">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序号</w:t>
            </w:r>
          </w:p>
        </w:tc>
        <w:tc>
          <w:tcPr>
            <w:tcW w:w="2718" w:type="dxa"/>
            <w:tcBorders>
              <w:top w:val="single" w:color="auto" w:sz="4" w:space="0"/>
              <w:left w:val="single" w:color="auto" w:sz="4" w:space="0"/>
              <w:bottom w:val="single" w:color="auto" w:sz="4" w:space="0"/>
              <w:right w:val="single" w:color="auto" w:sz="4" w:space="0"/>
            </w:tcBorders>
            <w:noWrap w:val="0"/>
            <w:vAlign w:val="center"/>
          </w:tcPr>
          <w:p w14:paraId="6A42F760">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货物清单</w:t>
            </w:r>
          </w:p>
        </w:tc>
        <w:tc>
          <w:tcPr>
            <w:tcW w:w="1426" w:type="dxa"/>
            <w:tcBorders>
              <w:top w:val="single" w:color="auto" w:sz="4" w:space="0"/>
              <w:left w:val="single" w:color="auto" w:sz="4" w:space="0"/>
              <w:bottom w:val="single" w:color="auto" w:sz="4" w:space="0"/>
              <w:right w:val="single" w:color="auto" w:sz="4" w:space="0"/>
            </w:tcBorders>
            <w:noWrap/>
            <w:vAlign w:val="center"/>
          </w:tcPr>
          <w:p w14:paraId="3E923024">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品牌型号</w:t>
            </w:r>
          </w:p>
        </w:tc>
        <w:tc>
          <w:tcPr>
            <w:tcW w:w="1058" w:type="dxa"/>
            <w:tcBorders>
              <w:top w:val="single" w:color="auto" w:sz="4" w:space="0"/>
              <w:left w:val="single" w:color="auto" w:sz="4" w:space="0"/>
              <w:bottom w:val="single" w:color="auto" w:sz="4" w:space="0"/>
              <w:right w:val="single" w:color="auto" w:sz="4" w:space="0"/>
            </w:tcBorders>
            <w:noWrap/>
            <w:vAlign w:val="center"/>
          </w:tcPr>
          <w:p w14:paraId="10C69335">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单位</w:t>
            </w:r>
          </w:p>
        </w:tc>
        <w:tc>
          <w:tcPr>
            <w:tcW w:w="1018" w:type="dxa"/>
            <w:tcBorders>
              <w:top w:val="single" w:color="auto" w:sz="4" w:space="0"/>
              <w:left w:val="single" w:color="auto" w:sz="4" w:space="0"/>
              <w:bottom w:val="single" w:color="auto" w:sz="4" w:space="0"/>
              <w:right w:val="single" w:color="auto" w:sz="4" w:space="0"/>
            </w:tcBorders>
            <w:noWrap/>
            <w:vAlign w:val="center"/>
          </w:tcPr>
          <w:p w14:paraId="1DABA0B8">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数量</w:t>
            </w:r>
          </w:p>
        </w:tc>
        <w:tc>
          <w:tcPr>
            <w:tcW w:w="1297" w:type="dxa"/>
            <w:tcBorders>
              <w:top w:val="single" w:color="auto" w:sz="4" w:space="0"/>
              <w:left w:val="single" w:color="auto" w:sz="4" w:space="0"/>
              <w:bottom w:val="single" w:color="auto" w:sz="4" w:space="0"/>
              <w:right w:val="single" w:color="auto" w:sz="4" w:space="0"/>
            </w:tcBorders>
            <w:noWrap/>
            <w:vAlign w:val="center"/>
          </w:tcPr>
          <w:p w14:paraId="3302C01F">
            <w:pPr>
              <w:spacing w:line="300" w:lineRule="exact"/>
              <w:jc w:val="center"/>
              <w:rPr>
                <w:rFonts w:ascii="仿宋" w:hAnsi="仿宋" w:eastAsia="仿宋" w:cs="仿宋"/>
                <w:b/>
                <w:bCs/>
                <w:sz w:val="24"/>
                <w:szCs w:val="24"/>
              </w:rPr>
            </w:pPr>
            <w:r>
              <w:rPr>
                <w:rFonts w:hint="eastAsia" w:ascii="仿宋" w:hAnsi="仿宋" w:eastAsia="仿宋" w:cs="仿宋"/>
                <w:b/>
                <w:bCs/>
                <w:sz w:val="24"/>
                <w:szCs w:val="24"/>
              </w:rPr>
              <w:t>单价</w:t>
            </w:r>
          </w:p>
          <w:p w14:paraId="7504F906">
            <w:pPr>
              <w:spacing w:line="300" w:lineRule="exact"/>
              <w:jc w:val="center"/>
              <w:rPr>
                <w:rFonts w:ascii="仿宋" w:hAnsi="仿宋" w:eastAsia="仿宋" w:cs="仿宋"/>
                <w:b/>
                <w:bCs/>
                <w:sz w:val="24"/>
                <w:szCs w:val="24"/>
              </w:rPr>
            </w:pPr>
            <w:r>
              <w:rPr>
                <w:rFonts w:hint="eastAsia" w:ascii="仿宋" w:hAnsi="仿宋" w:eastAsia="仿宋" w:cs="仿宋"/>
                <w:b/>
                <w:bCs/>
                <w:sz w:val="24"/>
                <w:szCs w:val="24"/>
              </w:rPr>
              <w:t>（元）</w:t>
            </w:r>
          </w:p>
        </w:tc>
        <w:tc>
          <w:tcPr>
            <w:tcW w:w="1056" w:type="dxa"/>
            <w:tcBorders>
              <w:top w:val="single" w:color="auto" w:sz="4" w:space="0"/>
              <w:left w:val="single" w:color="auto" w:sz="4" w:space="0"/>
              <w:bottom w:val="single" w:color="auto" w:sz="4" w:space="0"/>
              <w:right w:val="single" w:color="auto" w:sz="4" w:space="0"/>
            </w:tcBorders>
            <w:noWrap/>
            <w:vAlign w:val="center"/>
          </w:tcPr>
          <w:p w14:paraId="2A243945">
            <w:pPr>
              <w:spacing w:line="300" w:lineRule="exact"/>
              <w:jc w:val="center"/>
              <w:rPr>
                <w:rFonts w:ascii="仿宋" w:hAnsi="仿宋" w:eastAsia="仿宋" w:cs="仿宋"/>
                <w:b/>
                <w:bCs/>
                <w:sz w:val="24"/>
                <w:szCs w:val="24"/>
              </w:rPr>
            </w:pPr>
            <w:r>
              <w:rPr>
                <w:rFonts w:hint="eastAsia" w:ascii="仿宋" w:hAnsi="仿宋" w:eastAsia="仿宋" w:cs="仿宋"/>
                <w:b/>
                <w:bCs/>
                <w:sz w:val="24"/>
                <w:szCs w:val="24"/>
              </w:rPr>
              <w:t>金额</w:t>
            </w:r>
          </w:p>
          <w:p w14:paraId="1AD7ED7A">
            <w:pPr>
              <w:spacing w:line="300" w:lineRule="exact"/>
              <w:jc w:val="center"/>
              <w:rPr>
                <w:rFonts w:ascii="仿宋" w:hAnsi="仿宋" w:eastAsia="仿宋" w:cs="仿宋"/>
                <w:b/>
                <w:bCs/>
                <w:sz w:val="24"/>
                <w:szCs w:val="24"/>
              </w:rPr>
            </w:pPr>
            <w:r>
              <w:rPr>
                <w:rFonts w:hint="eastAsia" w:ascii="仿宋" w:hAnsi="仿宋" w:eastAsia="仿宋" w:cs="仿宋"/>
                <w:b/>
                <w:bCs/>
                <w:sz w:val="24"/>
                <w:szCs w:val="24"/>
              </w:rPr>
              <w:t>（元）</w:t>
            </w:r>
          </w:p>
        </w:tc>
      </w:tr>
      <w:tr w14:paraId="06793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78" w:type="dxa"/>
            <w:tcBorders>
              <w:top w:val="single" w:color="auto" w:sz="4" w:space="0"/>
              <w:left w:val="single" w:color="auto" w:sz="4" w:space="0"/>
              <w:bottom w:val="single" w:color="auto" w:sz="4" w:space="0"/>
              <w:right w:val="single" w:color="auto" w:sz="4" w:space="0"/>
            </w:tcBorders>
            <w:noWrap/>
            <w:vAlign w:val="center"/>
          </w:tcPr>
          <w:p w14:paraId="27FC710C">
            <w:pPr>
              <w:spacing w:line="360" w:lineRule="auto"/>
              <w:jc w:val="center"/>
              <w:rPr>
                <w:rFonts w:ascii="仿宋" w:hAnsi="仿宋" w:eastAsia="仿宋" w:cs="仿宋"/>
                <w:sz w:val="24"/>
                <w:szCs w:val="24"/>
              </w:rPr>
            </w:pPr>
            <w:r>
              <w:rPr>
                <w:rFonts w:hint="eastAsia" w:ascii="仿宋" w:hAnsi="仿宋" w:eastAsia="仿宋" w:cs="仿宋"/>
                <w:sz w:val="24"/>
                <w:szCs w:val="24"/>
              </w:rPr>
              <w:t>1</w:t>
            </w:r>
          </w:p>
        </w:tc>
        <w:tc>
          <w:tcPr>
            <w:tcW w:w="2718" w:type="dxa"/>
            <w:tcBorders>
              <w:top w:val="single" w:color="auto" w:sz="4" w:space="0"/>
              <w:left w:val="single" w:color="auto" w:sz="4" w:space="0"/>
              <w:bottom w:val="single" w:color="auto" w:sz="4" w:space="0"/>
              <w:right w:val="single" w:color="auto" w:sz="4" w:space="0"/>
            </w:tcBorders>
            <w:noWrap w:val="0"/>
            <w:vAlign w:val="center"/>
          </w:tcPr>
          <w:p w14:paraId="3202CD5E">
            <w:pPr>
              <w:spacing w:line="400" w:lineRule="exact"/>
              <w:jc w:val="center"/>
              <w:rPr>
                <w:rFonts w:ascii="仿宋" w:hAnsi="仿宋" w:eastAsia="仿宋" w:cs="仿宋"/>
                <w:sz w:val="24"/>
                <w:szCs w:val="24"/>
                <w:lang w:eastAsia="zh-CN"/>
              </w:rPr>
            </w:pPr>
            <w:r>
              <w:rPr>
                <w:rFonts w:hint="eastAsia" w:ascii="仿宋" w:hAnsi="仿宋" w:eastAsia="仿宋" w:cs="仿宋"/>
                <w:sz w:val="24"/>
                <w:szCs w:val="24"/>
                <w:lang w:eastAsia="zh-CN"/>
              </w:rPr>
              <w:t>接触网智能三维检测小车机器人</w:t>
            </w:r>
          </w:p>
        </w:tc>
        <w:tc>
          <w:tcPr>
            <w:tcW w:w="1426" w:type="dxa"/>
            <w:tcBorders>
              <w:top w:val="single" w:color="auto" w:sz="4" w:space="0"/>
              <w:left w:val="single" w:color="auto" w:sz="4" w:space="0"/>
              <w:bottom w:val="single" w:color="auto" w:sz="4" w:space="0"/>
              <w:right w:val="single" w:color="auto" w:sz="4" w:space="0"/>
            </w:tcBorders>
            <w:noWrap/>
            <w:vAlign w:val="center"/>
          </w:tcPr>
          <w:p w14:paraId="55F534BD">
            <w:pPr>
              <w:spacing w:line="360" w:lineRule="auto"/>
              <w:jc w:val="center"/>
              <w:rPr>
                <w:rFonts w:ascii="仿宋" w:hAnsi="仿宋" w:eastAsia="仿宋" w:cs="仿宋"/>
                <w:sz w:val="24"/>
                <w:szCs w:val="24"/>
                <w:lang w:eastAsia="zh-CN"/>
              </w:rPr>
            </w:pPr>
          </w:p>
        </w:tc>
        <w:tc>
          <w:tcPr>
            <w:tcW w:w="1058" w:type="dxa"/>
            <w:tcBorders>
              <w:top w:val="single" w:color="auto" w:sz="4" w:space="0"/>
              <w:left w:val="single" w:color="auto" w:sz="4" w:space="0"/>
              <w:bottom w:val="single" w:color="auto" w:sz="4" w:space="0"/>
              <w:right w:val="single" w:color="auto" w:sz="4" w:space="0"/>
            </w:tcBorders>
            <w:noWrap/>
            <w:vAlign w:val="center"/>
          </w:tcPr>
          <w:p w14:paraId="560D107F">
            <w:pPr>
              <w:spacing w:line="360" w:lineRule="auto"/>
              <w:jc w:val="center"/>
              <w:rPr>
                <w:rFonts w:ascii="仿宋" w:hAnsi="仿宋" w:eastAsia="仿宋" w:cs="仿宋"/>
                <w:sz w:val="24"/>
                <w:szCs w:val="24"/>
                <w:lang w:eastAsia="zh-CN"/>
              </w:rPr>
            </w:pPr>
          </w:p>
        </w:tc>
        <w:tc>
          <w:tcPr>
            <w:tcW w:w="1018" w:type="dxa"/>
            <w:tcBorders>
              <w:top w:val="single" w:color="auto" w:sz="4" w:space="0"/>
              <w:left w:val="single" w:color="auto" w:sz="4" w:space="0"/>
              <w:bottom w:val="single" w:color="auto" w:sz="4" w:space="0"/>
              <w:right w:val="single" w:color="auto" w:sz="4" w:space="0"/>
            </w:tcBorders>
            <w:noWrap/>
            <w:vAlign w:val="center"/>
          </w:tcPr>
          <w:p w14:paraId="1565A440">
            <w:pPr>
              <w:spacing w:line="360" w:lineRule="auto"/>
              <w:ind w:firstLine="480" w:firstLineChars="200"/>
              <w:rPr>
                <w:rFonts w:ascii="仿宋" w:hAnsi="仿宋" w:eastAsia="仿宋" w:cs="仿宋"/>
                <w:sz w:val="24"/>
                <w:szCs w:val="24"/>
                <w:lang w:eastAsia="zh-CN"/>
              </w:rPr>
            </w:pPr>
          </w:p>
        </w:tc>
        <w:tc>
          <w:tcPr>
            <w:tcW w:w="1297" w:type="dxa"/>
            <w:tcBorders>
              <w:top w:val="single" w:color="auto" w:sz="4" w:space="0"/>
              <w:left w:val="single" w:color="auto" w:sz="4" w:space="0"/>
              <w:bottom w:val="single" w:color="auto" w:sz="4" w:space="0"/>
              <w:right w:val="single" w:color="auto" w:sz="4" w:space="0"/>
            </w:tcBorders>
            <w:noWrap/>
            <w:vAlign w:val="center"/>
          </w:tcPr>
          <w:p w14:paraId="4C04529E">
            <w:pPr>
              <w:spacing w:line="360" w:lineRule="auto"/>
              <w:rPr>
                <w:rFonts w:ascii="仿宋" w:hAnsi="仿宋" w:eastAsia="仿宋" w:cs="仿宋"/>
                <w:sz w:val="24"/>
                <w:szCs w:val="24"/>
                <w:lang w:eastAsia="zh-CN"/>
              </w:rPr>
            </w:pPr>
          </w:p>
        </w:tc>
        <w:tc>
          <w:tcPr>
            <w:tcW w:w="1056" w:type="dxa"/>
            <w:tcBorders>
              <w:top w:val="single" w:color="auto" w:sz="4" w:space="0"/>
              <w:left w:val="single" w:color="auto" w:sz="4" w:space="0"/>
              <w:bottom w:val="single" w:color="auto" w:sz="4" w:space="0"/>
              <w:right w:val="single" w:color="auto" w:sz="4" w:space="0"/>
            </w:tcBorders>
            <w:noWrap/>
            <w:vAlign w:val="center"/>
          </w:tcPr>
          <w:p w14:paraId="1A012B58">
            <w:pPr>
              <w:spacing w:line="360" w:lineRule="auto"/>
              <w:jc w:val="center"/>
              <w:rPr>
                <w:rFonts w:ascii="仿宋" w:hAnsi="仿宋" w:eastAsia="仿宋" w:cs="仿宋"/>
                <w:sz w:val="24"/>
                <w:szCs w:val="24"/>
                <w:lang w:eastAsia="zh-CN"/>
              </w:rPr>
            </w:pPr>
            <w:r>
              <w:rPr>
                <w:rFonts w:hint="eastAsia" w:ascii="仿宋" w:hAnsi="仿宋" w:eastAsia="仿宋" w:cs="仿宋"/>
                <w:sz w:val="24"/>
                <w:szCs w:val="24"/>
                <w:lang w:eastAsia="zh-CN"/>
              </w:rPr>
              <w:t xml:space="preserve"> </w:t>
            </w:r>
          </w:p>
        </w:tc>
      </w:tr>
      <w:tr w14:paraId="50D0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8" w:type="dxa"/>
            <w:tcBorders>
              <w:top w:val="single" w:color="auto" w:sz="4" w:space="0"/>
              <w:left w:val="single" w:color="auto" w:sz="4" w:space="0"/>
              <w:bottom w:val="single" w:color="auto" w:sz="4" w:space="0"/>
              <w:right w:val="single" w:color="auto" w:sz="4" w:space="0"/>
            </w:tcBorders>
            <w:noWrap/>
            <w:vAlign w:val="center"/>
          </w:tcPr>
          <w:p w14:paraId="5E191B77">
            <w:pPr>
              <w:spacing w:line="360" w:lineRule="auto"/>
              <w:rPr>
                <w:rFonts w:ascii="仿宋" w:hAnsi="仿宋" w:eastAsia="仿宋" w:cs="仿宋"/>
                <w:sz w:val="24"/>
                <w:szCs w:val="24"/>
              </w:rPr>
            </w:pPr>
            <w:r>
              <w:rPr>
                <w:rFonts w:hint="eastAsia" w:ascii="仿宋" w:hAnsi="仿宋" w:eastAsia="仿宋" w:cs="仿宋"/>
                <w:sz w:val="24"/>
                <w:szCs w:val="24"/>
              </w:rPr>
              <w:t>合计</w:t>
            </w:r>
          </w:p>
        </w:tc>
        <w:tc>
          <w:tcPr>
            <w:tcW w:w="7517" w:type="dxa"/>
            <w:gridSpan w:val="5"/>
            <w:tcBorders>
              <w:top w:val="single" w:color="auto" w:sz="4" w:space="0"/>
              <w:left w:val="single" w:color="auto" w:sz="4" w:space="0"/>
              <w:bottom w:val="single" w:color="auto" w:sz="4" w:space="0"/>
              <w:right w:val="single" w:color="auto" w:sz="4" w:space="0"/>
            </w:tcBorders>
            <w:noWrap w:val="0"/>
            <w:vAlign w:val="top"/>
          </w:tcPr>
          <w:p w14:paraId="7E924B9F">
            <w:pPr>
              <w:spacing w:line="360" w:lineRule="auto"/>
              <w:rPr>
                <w:rFonts w:ascii="仿宋" w:hAnsi="仿宋" w:eastAsia="仿宋" w:cs="仿宋"/>
                <w:sz w:val="24"/>
                <w:szCs w:val="24"/>
              </w:rPr>
            </w:pPr>
            <w:r>
              <w:rPr>
                <w:rFonts w:hint="eastAsia" w:ascii="仿宋" w:hAnsi="仿宋" w:eastAsia="仿宋" w:cs="仿宋"/>
                <w:sz w:val="24"/>
                <w:szCs w:val="24"/>
              </w:rPr>
              <w:t>大写人民币：          元整</w:t>
            </w:r>
          </w:p>
        </w:tc>
        <w:tc>
          <w:tcPr>
            <w:tcW w:w="1056" w:type="dxa"/>
            <w:tcBorders>
              <w:top w:val="single" w:color="auto" w:sz="4" w:space="0"/>
              <w:left w:val="single" w:color="auto" w:sz="4" w:space="0"/>
              <w:bottom w:val="single" w:color="auto" w:sz="4" w:space="0"/>
              <w:right w:val="single" w:color="auto" w:sz="4" w:space="0"/>
            </w:tcBorders>
            <w:noWrap/>
            <w:vAlign w:val="center"/>
          </w:tcPr>
          <w:p w14:paraId="011E2736">
            <w:pPr>
              <w:spacing w:line="360" w:lineRule="auto"/>
              <w:ind w:firstLine="480" w:firstLineChars="200"/>
              <w:rPr>
                <w:rFonts w:ascii="仿宋" w:hAnsi="仿宋" w:eastAsia="仿宋" w:cs="仿宋"/>
                <w:sz w:val="24"/>
                <w:szCs w:val="24"/>
              </w:rPr>
            </w:pPr>
          </w:p>
        </w:tc>
      </w:tr>
    </w:tbl>
    <w:p w14:paraId="34F5EB3E">
      <w:pPr>
        <w:tabs>
          <w:tab w:val="left" w:pos="7665"/>
        </w:tabs>
        <w:spacing w:line="470" w:lineRule="exact"/>
        <w:ind w:firstLine="562" w:firstLineChars="200"/>
        <w:rPr>
          <w:rFonts w:ascii="仿宋_GB2312" w:hAnsi="仿宋" w:eastAsia="仿宋_GB2312" w:cs="仿宋"/>
          <w:b/>
          <w:sz w:val="28"/>
          <w:szCs w:val="28"/>
          <w:lang w:eastAsia="zh-CN"/>
        </w:rPr>
      </w:pPr>
      <w:r>
        <w:rPr>
          <w:rFonts w:hint="eastAsia" w:ascii="仿宋_GB2312" w:hAnsi="仿宋" w:eastAsia="仿宋_GB2312" w:cs="仿宋"/>
          <w:b/>
          <w:sz w:val="28"/>
          <w:szCs w:val="28"/>
          <w:lang w:eastAsia="zh-CN"/>
        </w:rPr>
        <w:t>2.合同总价（请按实际中标金额填写）</w:t>
      </w:r>
    </w:p>
    <w:p w14:paraId="3C36B3E8">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合同总价为人民币大写: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元整，即￥</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元；该合同价包括但不限于货物设计、材料、制造、包装、运输、搬运、上楼、拆除、安装、调试、检测、验收合格交付使用之前及保修期内保修服务与备用物件所有其他有关各项的含税费用。</w:t>
      </w:r>
    </w:p>
    <w:p w14:paraId="2332EB98">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本合同执行期间合同总价不变，甲方无须另向乙方支付本合同规定之外的其他任何费用。</w:t>
      </w:r>
    </w:p>
    <w:p w14:paraId="2559630F">
      <w:pPr>
        <w:tabs>
          <w:tab w:val="left" w:pos="7665"/>
        </w:tabs>
        <w:spacing w:line="360" w:lineRule="auto"/>
        <w:ind w:firstLine="562" w:firstLineChars="200"/>
        <w:rPr>
          <w:rFonts w:ascii="仿宋_GB2312" w:hAnsi="仿宋" w:eastAsia="仿宋_GB2312" w:cs="仿宋"/>
          <w:b/>
          <w:sz w:val="28"/>
          <w:szCs w:val="28"/>
          <w:lang w:eastAsia="zh-CN"/>
        </w:rPr>
      </w:pPr>
      <w:r>
        <w:rPr>
          <w:rFonts w:hint="eastAsia" w:ascii="仿宋_GB2312" w:hAnsi="仿宋" w:eastAsia="仿宋_GB2312" w:cs="仿宋"/>
          <w:b/>
          <w:sz w:val="28"/>
          <w:szCs w:val="28"/>
          <w:lang w:eastAsia="zh-CN"/>
        </w:rPr>
        <w:t>3.履约保证金</w:t>
      </w:r>
    </w:p>
    <w:p w14:paraId="47C0E30C">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签订合同前三日内，由乙方向甲方交纳中标金额的 5% 即￥</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元作为履约保证金，全部货物安装调试完毕并验收合格，乙方承诺的质保期满后，达到退还履约保证金条件起</w:t>
      </w:r>
      <w:r>
        <w:rPr>
          <w:rFonts w:ascii="仿宋_GB2312" w:hAnsi="仿宋_GB2312" w:eastAsia="仿宋_GB2312" w:cs="仿宋_GB2312"/>
          <w:sz w:val="28"/>
          <w:szCs w:val="28"/>
          <w:lang w:eastAsia="zh-CN"/>
        </w:rPr>
        <w:t xml:space="preserve"> 7 </w:t>
      </w:r>
      <w:r>
        <w:rPr>
          <w:rFonts w:hint="eastAsia" w:ascii="仿宋_GB2312" w:hAnsi="仿宋_GB2312" w:eastAsia="仿宋_GB2312" w:cs="仿宋_GB2312"/>
          <w:sz w:val="28"/>
          <w:szCs w:val="28"/>
          <w:lang w:eastAsia="zh-CN"/>
        </w:rPr>
        <w:t>日内</w:t>
      </w:r>
      <w:r>
        <w:rPr>
          <w:rFonts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eastAsia="zh-CN"/>
        </w:rPr>
        <w:t>，甲方无息退还履约保证金至原账户。如乙方到期未缴纳履约保证金的，视为乙方放弃与甲方签署本合同，甲方有权解除本协议，并要求乙方向甲方支付违约金五万元。</w:t>
      </w:r>
    </w:p>
    <w:p w14:paraId="746D1781">
      <w:pPr>
        <w:spacing w:line="500" w:lineRule="exact"/>
        <w:ind w:firstLine="562" w:firstLineChars="200"/>
        <w:rPr>
          <w:rFonts w:ascii="仿宋_GB2312" w:hAnsi="仿宋" w:eastAsia="仿宋_GB2312" w:cs="仿宋"/>
          <w:b/>
          <w:sz w:val="28"/>
          <w:szCs w:val="28"/>
          <w:lang w:eastAsia="zh-CN"/>
        </w:rPr>
      </w:pPr>
      <w:r>
        <w:rPr>
          <w:rFonts w:hint="eastAsia" w:ascii="仿宋_GB2312" w:hAnsi="仿宋" w:eastAsia="仿宋_GB2312" w:cs="仿宋"/>
          <w:b/>
          <w:sz w:val="28"/>
          <w:szCs w:val="28"/>
          <w:lang w:eastAsia="zh-CN"/>
        </w:rPr>
        <w:t>4.质量要求</w:t>
      </w:r>
    </w:p>
    <w:p w14:paraId="105B4FA9">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4.1乙方应保证所供货物是全新的、未使用过的，并完全符合招标文件和国家规定的质量、规格和性能的要求。乙方应保证其货物在正确安装、正常使用和保养条件下，在其使用寿命期内具有满意的性能。在质量保证期内，乙方应对由于设计、工艺或材料的缺陷而产生的故障负责。</w:t>
      </w:r>
    </w:p>
    <w:p w14:paraId="0683975F">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4.2在质量保证期内，如果货物质量或技术参数与合同不符，或证实货物是有缺陷的，包括潜在的缺陷或使用不符合要求的材料等，甲方或使用单位应尽快以书面形式向乙方提出本保证下的索赔。甲方有权退货，乙方向甲方支付合同总金额的10%赔偿金。</w:t>
      </w:r>
    </w:p>
    <w:p w14:paraId="6ACEAFFA">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4.3乙方应在接到甲方或使用单位通知后，在本合同响应时间内，免费维修或更换有缺陷的货物或部件。</w:t>
      </w:r>
    </w:p>
    <w:p w14:paraId="434743D7">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4.4如果乙方在接到甲方或使用单位通知后，在本合同响应时间内，没有弥补缺陷，甲方可采取必要的补救措施，但其风险和费用将由乙方负担，甲方根据合同规定对乙方行使的其他权利不受影响。</w:t>
      </w:r>
    </w:p>
    <w:p w14:paraId="0B10E1C7">
      <w:pPr>
        <w:tabs>
          <w:tab w:val="left" w:pos="7665"/>
        </w:tabs>
        <w:spacing w:line="360" w:lineRule="auto"/>
        <w:ind w:firstLine="562" w:firstLineChars="200"/>
        <w:rPr>
          <w:rFonts w:ascii="仿宋_GB2312" w:hAnsi="仿宋" w:eastAsia="仿宋_GB2312" w:cs="仿宋"/>
          <w:b/>
          <w:sz w:val="28"/>
          <w:szCs w:val="28"/>
          <w:lang w:eastAsia="zh-CN"/>
        </w:rPr>
      </w:pPr>
      <w:r>
        <w:rPr>
          <w:rFonts w:hint="eastAsia" w:ascii="仿宋_GB2312" w:hAnsi="仿宋" w:eastAsia="仿宋_GB2312" w:cs="仿宋"/>
          <w:b/>
          <w:sz w:val="28"/>
          <w:szCs w:val="28"/>
          <w:lang w:eastAsia="zh-CN"/>
        </w:rPr>
        <w:t>5.交货及验收</w:t>
      </w:r>
    </w:p>
    <w:p w14:paraId="69C4320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5.1 交货时间：</w:t>
      </w:r>
      <w:r>
        <w:rPr>
          <w:rFonts w:hint="eastAsia" w:ascii="仿宋_GB2312" w:hAnsi="仿宋_GB2312" w:eastAsia="仿宋_GB2312" w:cs="仿宋_GB2312"/>
          <w:sz w:val="28"/>
          <w:szCs w:val="28"/>
          <w:lang w:val="en-US" w:eastAsia="zh-CN"/>
        </w:rPr>
        <w:t>合同签订后90日内交货（供应商应保证在要求时间内完成全部货物的供货、安装、调试和培训工作，符合国家标准、行业规范和合同等相关文件的要求）</w:t>
      </w:r>
      <w:r>
        <w:rPr>
          <w:rFonts w:hint="eastAsia" w:ascii="仿宋_GB2312" w:hAnsi="仿宋_GB2312" w:eastAsia="仿宋_GB2312" w:cs="仿宋_GB2312"/>
          <w:sz w:val="28"/>
          <w:szCs w:val="28"/>
          <w:lang w:eastAsia="zh-CN"/>
        </w:rPr>
        <w:t>。交货地点：四川铁道职业学院。</w:t>
      </w:r>
    </w:p>
    <w:p w14:paraId="508655BC">
      <w:pPr>
        <w:spacing w:line="360" w:lineRule="auto"/>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5.2验收由甲方组织，乙方配合进行，所有设备应满足招投标文件和合同要求。</w:t>
      </w:r>
    </w:p>
    <w:p w14:paraId="6C45DC92">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5.2.1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0A9D885E">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5.2.2验收时如发现所交付的货物有短装、次品、损坏、其他不符合标准或招标文件要求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58652E1E">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5.2.3试运行结束后由采购人组织验收，验收按国家现行规范进行，验收时将检查售后服务电话的响应情况、货物装箱单和配置单明细、相关技术参数等所有招标文件要求和投标文件承诺的内容，并对整体运行情况进行验收。若采购人委托有检测资质的第三方检测单位进行检测，中标人应作好检测有关配合工作。</w:t>
      </w:r>
    </w:p>
    <w:p w14:paraId="7C0F8A00">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5.2.4如质量验收合格，双方签署质量验收报告。</w:t>
      </w:r>
    </w:p>
    <w:p w14:paraId="3E8E731F">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5.3 货物安装调试完成、乙方按规定提交书面验收通知和全部相关文件后日后，甲方无故不进行验收工作并已使用货物的，视同已安装调试完成并验收合格。</w:t>
      </w:r>
    </w:p>
    <w:p w14:paraId="3B732217">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5.4乙方应将所提供货物的装箱清单、配件、随机工具、用户使用手册、合格证、原厂保修卡等资料交付给甲方；乙方不能完整交付货物及本款规定的单证和工具的，必须负责补齐，否则视为未按合同约定交货。</w:t>
      </w:r>
    </w:p>
    <w:p w14:paraId="54D5FB9A">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5.5其他未尽事宜应严格按照《财政部关于进一步加强政府采购需求和履约验收管理的指导意见》（财库〔2016〕205号）的要求进行。</w:t>
      </w:r>
    </w:p>
    <w:p w14:paraId="6695F1FF">
      <w:pPr>
        <w:tabs>
          <w:tab w:val="left" w:pos="7665"/>
        </w:tabs>
        <w:spacing w:line="360" w:lineRule="auto"/>
        <w:ind w:firstLine="562" w:firstLineChars="200"/>
        <w:rPr>
          <w:rFonts w:ascii="仿宋_GB2312" w:hAnsi="仿宋" w:eastAsia="仿宋_GB2312" w:cs="仿宋"/>
          <w:b/>
          <w:sz w:val="28"/>
          <w:szCs w:val="28"/>
          <w:lang w:eastAsia="zh-CN"/>
        </w:rPr>
      </w:pPr>
      <w:r>
        <w:rPr>
          <w:rFonts w:hint="eastAsia" w:ascii="仿宋_GB2312" w:hAnsi="仿宋" w:eastAsia="仿宋_GB2312" w:cs="仿宋"/>
          <w:b/>
          <w:sz w:val="28"/>
          <w:szCs w:val="28"/>
          <w:lang w:eastAsia="zh-CN"/>
        </w:rPr>
        <w:t>6.货款的结算</w:t>
      </w:r>
    </w:p>
    <w:p w14:paraId="390C42E9">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本合同各设备单价已包括货物设计、材料、制造、包装、运输、安装、调试、检测、验收合格交付使用及保修期内保修服务与备用物件所有其他有关各项的含税费用。</w:t>
      </w:r>
    </w:p>
    <w:p w14:paraId="1E1C0396">
      <w:pPr>
        <w:tabs>
          <w:tab w:val="left" w:pos="7665"/>
        </w:tabs>
        <w:spacing w:line="360" w:lineRule="auto"/>
        <w:ind w:firstLine="562" w:firstLineChars="200"/>
        <w:rPr>
          <w:rFonts w:ascii="仿宋_GB2312" w:hAnsi="仿宋" w:eastAsia="仿宋_GB2312" w:cs="仿宋"/>
          <w:b/>
          <w:sz w:val="28"/>
          <w:szCs w:val="28"/>
          <w:lang w:eastAsia="zh-CN"/>
        </w:rPr>
      </w:pPr>
      <w:r>
        <w:rPr>
          <w:rFonts w:hint="eastAsia" w:ascii="仿宋_GB2312" w:hAnsi="仿宋" w:eastAsia="仿宋_GB2312" w:cs="仿宋"/>
          <w:b/>
          <w:sz w:val="28"/>
          <w:szCs w:val="28"/>
          <w:lang w:eastAsia="zh-CN"/>
        </w:rPr>
        <w:t>7.付款方式</w:t>
      </w:r>
    </w:p>
    <w:p w14:paraId="66BED7CA">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7.1合同签订生效之日起，甲方接到乙方书面通知和乙方出具的合法有效完整的票据凭证资料，达到付款条件起7日内，支付合同总金额的</w:t>
      </w:r>
      <w:r>
        <w:rPr>
          <w:rFonts w:ascii="仿宋_GB2312" w:hAnsi="仿宋_GB2312" w:eastAsia="仿宋_GB2312" w:cs="仿宋_GB2312"/>
          <w:sz w:val="28"/>
          <w:szCs w:val="28"/>
          <w:lang w:eastAsia="zh-CN"/>
        </w:rPr>
        <w:t>40</w:t>
      </w:r>
      <w:r>
        <w:rPr>
          <w:rFonts w:hint="eastAsia" w:ascii="仿宋_GB2312" w:hAnsi="仿宋_GB2312" w:eastAsia="仿宋_GB2312" w:cs="仿宋_GB2312"/>
          <w:sz w:val="28"/>
          <w:szCs w:val="28"/>
          <w:lang w:eastAsia="zh-CN"/>
        </w:rPr>
        <w:t>%。</w:t>
      </w:r>
    </w:p>
    <w:p w14:paraId="71BB4C0A">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7.2货物安装调试完毕并验收合格之日起，甲方接到乙方书面通知和供应商出具的合法有效完整的票据凭证资料，达到付款条件起7日内，支付合同总金额的60%。</w:t>
      </w:r>
    </w:p>
    <w:p w14:paraId="618A7689">
      <w:pPr>
        <w:tabs>
          <w:tab w:val="left" w:pos="7665"/>
        </w:tabs>
        <w:spacing w:line="360" w:lineRule="auto"/>
        <w:ind w:firstLine="562" w:firstLineChars="200"/>
        <w:rPr>
          <w:rFonts w:ascii="仿宋_GB2312" w:hAnsi="仿宋" w:eastAsia="仿宋_GB2312" w:cs="仿宋"/>
          <w:b/>
          <w:sz w:val="28"/>
          <w:szCs w:val="28"/>
          <w:lang w:eastAsia="zh-CN"/>
        </w:rPr>
      </w:pPr>
      <w:r>
        <w:rPr>
          <w:rFonts w:hint="eastAsia" w:ascii="仿宋_GB2312" w:hAnsi="仿宋" w:eastAsia="仿宋_GB2312" w:cs="仿宋"/>
          <w:b/>
          <w:sz w:val="28"/>
          <w:szCs w:val="28"/>
          <w:lang w:eastAsia="zh-CN"/>
        </w:rPr>
        <w:t>8.售后服务</w:t>
      </w:r>
    </w:p>
    <w:p w14:paraId="77A7415F">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8.1质保期为验收合格后</w:t>
      </w:r>
      <w:r>
        <w:rPr>
          <w:rFonts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eastAsia="zh-CN"/>
        </w:rPr>
        <w:t>年。质保期内乙方应每季度巡检一次,甲方利用本项目产品开展重大活动、比赛、考核等，乙方应提供技术保障。</w:t>
      </w:r>
    </w:p>
    <w:p w14:paraId="4739AB92">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8.2质保责任</w:t>
      </w:r>
    </w:p>
    <w:p w14:paraId="5C6067A8">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（1）质保期内系统的维修、维护、保养、软件免费维护、升级工作由乙方负责；</w:t>
      </w:r>
    </w:p>
    <w:p w14:paraId="09189479">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（2）质保期内系统由于设计、产品、施工质量原因造成的任何损伤和损坏(除操作失误或人为原因外)，乙方须免费负责修理或更换，所有更换的零件和材料须是原厂标准生产的零件和材料，造成损失的应赔偿；</w:t>
      </w:r>
    </w:p>
    <w:p w14:paraId="70F00DDC">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3）乙方必须承诺故障维护响应包括电话技术支持与现场维修两种。电话技术支持应保证7×8小时响应；设备故障报修响应时间：对于突发的系统故障，乙方应在4小时内做出响应，20小时内技术人员赶到现场，48小时内排除故障或更换替代产品及备件。设备故障需带离现场维修的，采购人认为影响系统运行时乙方应立即提供备件；</w:t>
      </w:r>
    </w:p>
    <w:p w14:paraId="5449718A">
      <w:pPr>
        <w:spacing w:line="490" w:lineRule="exact"/>
        <w:ind w:firstLine="562" w:firstLineChars="200"/>
        <w:rPr>
          <w:rFonts w:hint="eastAsia" w:ascii="仿宋_GB2312" w:eastAsia="仿宋_GB2312"/>
          <w:b/>
          <w:bCs/>
          <w:sz w:val="28"/>
          <w:szCs w:val="28"/>
          <w:lang w:eastAsia="zh-CN"/>
        </w:rPr>
      </w:pPr>
      <w:r>
        <w:rPr>
          <w:rFonts w:hint="eastAsia" w:ascii="仿宋_GB2312" w:eastAsia="仿宋_GB2312"/>
          <w:b/>
          <w:bCs/>
          <w:sz w:val="28"/>
          <w:szCs w:val="28"/>
          <w:lang w:eastAsia="zh-CN"/>
        </w:rPr>
        <w:t>9.违约责任</w:t>
      </w:r>
    </w:p>
    <w:p w14:paraId="5727CA6B">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9.</w:t>
      </w:r>
      <w:r>
        <w:rPr>
          <w:rFonts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t>如货物经乙方5次维修仍不能达到合同约定的质量标准，甲方有权退货，并视作乙方不能交付货物而须支付合同金额10%违约赔偿金给甲方，甲方还可依法追究乙方的违约责任。</w:t>
      </w:r>
    </w:p>
    <w:p w14:paraId="1CB2F66E">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9.</w:t>
      </w:r>
      <w:r>
        <w:rPr>
          <w:rFonts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eastAsia="zh-CN"/>
        </w:rPr>
        <w:t>保修期结束后，应甲方要求，乙方仍有责任在合同所报分项价格基础上，以最优惠价格快速地提供设备的维修和保养服务。</w:t>
      </w:r>
    </w:p>
    <w:p w14:paraId="0C84F59A">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9.</w:t>
      </w:r>
      <w:r>
        <w:rPr>
          <w:rFonts w:ascii="仿宋_GB2312" w:hAnsi="仿宋_GB2312" w:eastAsia="仿宋_GB2312" w:cs="仿宋_GB2312"/>
          <w:sz w:val="28"/>
          <w:szCs w:val="28"/>
          <w:lang w:eastAsia="zh-CN"/>
        </w:rPr>
        <w:t>3</w:t>
      </w:r>
      <w:r>
        <w:rPr>
          <w:rFonts w:hint="eastAsia" w:ascii="仿宋_GB2312" w:hAnsi="仿宋_GB2312" w:eastAsia="仿宋_GB2312" w:cs="仿宋_GB2312"/>
          <w:sz w:val="28"/>
          <w:szCs w:val="28"/>
          <w:lang w:eastAsia="zh-CN"/>
        </w:rPr>
        <w:t>其他保修细节另见乙方和制造厂商有关文件。</w:t>
      </w:r>
    </w:p>
    <w:p w14:paraId="410B3A26">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9.</w:t>
      </w:r>
      <w:r>
        <w:rPr>
          <w:rFonts w:ascii="仿宋_GB2312" w:hAnsi="仿宋_GB2312" w:eastAsia="仿宋_GB2312" w:cs="仿宋_GB2312"/>
          <w:sz w:val="28"/>
          <w:szCs w:val="28"/>
          <w:lang w:eastAsia="zh-CN"/>
        </w:rPr>
        <w:t>4</w:t>
      </w:r>
      <w:r>
        <w:rPr>
          <w:rFonts w:hint="eastAsia" w:ascii="仿宋_GB2312" w:hAnsi="仿宋_GB2312" w:eastAsia="仿宋_GB2312" w:cs="仿宋_GB2312"/>
          <w:sz w:val="28"/>
          <w:szCs w:val="28"/>
          <w:lang w:eastAsia="zh-CN"/>
        </w:rPr>
        <w:t>上述承诺由承担实现。</w:t>
      </w:r>
    </w:p>
    <w:p w14:paraId="73D488C3">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维修联系人：      维修电话：      投诉电话：            </w:t>
      </w:r>
    </w:p>
    <w:p w14:paraId="6F4E58B3">
      <w:pPr>
        <w:spacing w:line="490" w:lineRule="exact"/>
        <w:ind w:firstLine="562" w:firstLineChars="200"/>
        <w:rPr>
          <w:rFonts w:ascii="仿宋_GB2312" w:eastAsia="仿宋_GB2312"/>
          <w:b/>
          <w:bCs/>
          <w:sz w:val="28"/>
          <w:szCs w:val="28"/>
          <w:lang w:eastAsia="zh-CN"/>
        </w:rPr>
      </w:pPr>
      <w:r>
        <w:rPr>
          <w:rFonts w:hint="eastAsia" w:ascii="仿宋_GB2312" w:eastAsia="仿宋_GB2312"/>
          <w:b/>
          <w:bCs/>
          <w:sz w:val="28"/>
          <w:szCs w:val="28"/>
          <w:lang w:eastAsia="zh-CN"/>
        </w:rPr>
        <w:t>10.项目保险约定</w:t>
      </w:r>
    </w:p>
    <w:p w14:paraId="60226BD5">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甲方投保内容：甲方派驻现场人员的工程意外伤害保险由甲方办理。甲方委托乙方办理的保险事项：无。</w:t>
      </w:r>
    </w:p>
    <w:p w14:paraId="089BB246">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乙方投保内容：乙方在工程现场所有人员、机具等的有关保险，由乙方负责办理并承担费用。 </w:t>
      </w:r>
    </w:p>
    <w:p w14:paraId="51BC2A5A">
      <w:pPr>
        <w:spacing w:line="490" w:lineRule="exact"/>
        <w:ind w:firstLine="562" w:firstLineChars="200"/>
        <w:rPr>
          <w:rFonts w:ascii="仿宋_GB2312" w:eastAsia="仿宋_GB2312"/>
          <w:b/>
          <w:bCs/>
          <w:sz w:val="28"/>
          <w:szCs w:val="28"/>
          <w:lang w:eastAsia="zh-CN"/>
        </w:rPr>
      </w:pPr>
      <w:r>
        <w:rPr>
          <w:rFonts w:hint="eastAsia" w:ascii="仿宋_GB2312" w:eastAsia="仿宋_GB2312"/>
          <w:b/>
          <w:bCs/>
          <w:sz w:val="28"/>
          <w:szCs w:val="28"/>
          <w:lang w:eastAsia="zh-CN"/>
        </w:rPr>
        <w:t>11.违约责任</w:t>
      </w:r>
    </w:p>
    <w:p w14:paraId="6ACA2379">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11.1甲方及乙方双方一方违约，不执行、不遵守合同约定条款，且在另一方发出通知后的15天内仍未采取弥补措施的，另一方有权单方面解除本合同，并要求违约方支付合同金额10%的违约金，如违约金金额低于实际损失的，违约方必须另外予以补偿。</w:t>
      </w:r>
    </w:p>
    <w:p w14:paraId="5F279FCB">
      <w:pPr>
        <w:spacing w:line="490" w:lineRule="exact"/>
        <w:ind w:firstLine="562" w:firstLineChars="200"/>
        <w:rPr>
          <w:rFonts w:ascii="仿宋_GB2312" w:eastAsia="仿宋_GB2312"/>
          <w:b/>
          <w:bCs/>
          <w:sz w:val="28"/>
          <w:szCs w:val="28"/>
          <w:lang w:eastAsia="zh-CN"/>
        </w:rPr>
      </w:pPr>
      <w:r>
        <w:rPr>
          <w:rFonts w:hint="eastAsia" w:ascii="仿宋_GB2312" w:eastAsia="仿宋_GB2312"/>
          <w:b/>
          <w:bCs/>
          <w:sz w:val="28"/>
          <w:szCs w:val="28"/>
          <w:lang w:eastAsia="zh-CN"/>
        </w:rPr>
        <w:t>12.争议解决办法</w:t>
      </w:r>
    </w:p>
    <w:p w14:paraId="0118C8B4">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有争议双方协商，协商无法达成一致的，可向甲方所在地人民法院提请诉讼。</w:t>
      </w:r>
    </w:p>
    <w:p w14:paraId="43C2E1C7">
      <w:pPr>
        <w:spacing w:line="490" w:lineRule="exact"/>
        <w:ind w:firstLine="562" w:firstLineChars="200"/>
        <w:rPr>
          <w:rFonts w:ascii="仿宋_GB2312" w:eastAsia="仿宋_GB2312"/>
          <w:b/>
          <w:bCs/>
          <w:sz w:val="28"/>
          <w:szCs w:val="28"/>
          <w:lang w:eastAsia="zh-CN"/>
        </w:rPr>
      </w:pPr>
      <w:r>
        <w:rPr>
          <w:rFonts w:hint="eastAsia" w:ascii="仿宋_GB2312" w:eastAsia="仿宋_GB2312"/>
          <w:b/>
          <w:bCs/>
          <w:sz w:val="28"/>
          <w:szCs w:val="28"/>
          <w:lang w:eastAsia="zh-CN"/>
        </w:rPr>
        <w:t>13.补充条款</w:t>
      </w:r>
    </w:p>
    <w:p w14:paraId="7189E25D">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13.1 乙方需承诺本项目若涉及3C产品通过国家强制性要求，乙方应在签订采购合同前提供3C认证证书至甲方，未提供或不能提供的视为虚假响应。</w:t>
      </w:r>
    </w:p>
    <w:p w14:paraId="78B2543D">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13.2乙方承诺项目全部设备的各种部件均保证齐备、充足供应，若因设备软硬件升级更新等原因不能保障供应或影响甲方正常使用造成甲方损失的，乙方承担全部赔偿责任。</w:t>
      </w:r>
    </w:p>
    <w:p w14:paraId="3947F876">
      <w:pPr>
        <w:spacing w:line="490" w:lineRule="exact"/>
        <w:ind w:firstLine="562" w:firstLineChars="200"/>
        <w:rPr>
          <w:rFonts w:ascii="仿宋_GB2312" w:eastAsia="仿宋_GB2312"/>
          <w:b/>
          <w:bCs/>
          <w:sz w:val="28"/>
          <w:szCs w:val="28"/>
          <w:lang w:eastAsia="zh-CN"/>
        </w:rPr>
      </w:pPr>
      <w:r>
        <w:rPr>
          <w:rFonts w:hint="eastAsia" w:ascii="仿宋_GB2312" w:eastAsia="仿宋_GB2312"/>
          <w:b/>
          <w:bCs/>
          <w:sz w:val="28"/>
          <w:szCs w:val="28"/>
          <w:lang w:eastAsia="zh-CN"/>
        </w:rPr>
        <w:t>14.合同文件的优先顺序</w:t>
      </w:r>
    </w:p>
    <w:p w14:paraId="1ABF8912">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组成合同的各项文件应互相解释，互为说明。除专用合同条款另有约定外，解释合同文件的优先顺序如下：</w:t>
      </w:r>
    </w:p>
    <w:p w14:paraId="4A6BC363">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(l）合同协议书；</w:t>
      </w:r>
    </w:p>
    <w:p w14:paraId="657865AC">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(2）中标通知书；</w:t>
      </w:r>
    </w:p>
    <w:p w14:paraId="11108336">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(3）招标文件及其附件；</w:t>
      </w:r>
    </w:p>
    <w:p w14:paraId="5E6AD9BB">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(4）投标函及投标函附录；</w:t>
      </w:r>
    </w:p>
    <w:p w14:paraId="17794D03">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(5）技术标准、规范和有关技术文件要求；</w:t>
      </w:r>
    </w:p>
    <w:p w14:paraId="0B4E2B8D">
      <w:pPr>
        <w:spacing w:line="54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(6）其他合同文件。</w:t>
      </w:r>
    </w:p>
    <w:p w14:paraId="5DDA056E">
      <w:pPr>
        <w:spacing w:line="490" w:lineRule="exact"/>
        <w:ind w:firstLine="562" w:firstLineChars="200"/>
        <w:rPr>
          <w:rFonts w:ascii="仿宋_GB2312" w:eastAsia="仿宋_GB2312"/>
          <w:b/>
          <w:bCs/>
          <w:sz w:val="28"/>
          <w:szCs w:val="28"/>
          <w:lang w:eastAsia="zh-CN"/>
        </w:rPr>
      </w:pPr>
      <w:r>
        <w:rPr>
          <w:rFonts w:hint="eastAsia" w:ascii="仿宋_GB2312" w:eastAsia="仿宋_GB2312"/>
          <w:b/>
          <w:bCs/>
          <w:sz w:val="28"/>
          <w:szCs w:val="28"/>
          <w:lang w:eastAsia="zh-CN"/>
        </w:rPr>
        <w:t>15.其他</w:t>
      </w:r>
    </w:p>
    <w:p w14:paraId="0BEE5E44">
      <w:pPr>
        <w:spacing w:line="500" w:lineRule="exact"/>
        <w:ind w:firstLine="560" w:firstLineChars="2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15.1如有未尽事宜，由双方依法订立补充合同。合同附件如果有与合同不符处，以对甲方有利的为准。</w:t>
      </w:r>
    </w:p>
    <w:p w14:paraId="69022FAB">
      <w:pPr>
        <w:spacing w:line="500" w:lineRule="exact"/>
        <w:ind w:firstLine="544" w:firstLineChars="200"/>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eastAsia="zh-CN"/>
        </w:rPr>
        <w:t>15.2</w:t>
      </w:r>
      <w:bookmarkStart w:id="0" w:name="_Hlk214289299"/>
      <w:r>
        <w:rPr>
          <w:rFonts w:hint="eastAsia" w:ascii="仿宋_GB2312" w:hAnsi="仿宋_GB2312" w:eastAsia="仿宋_GB2312" w:cs="仿宋_GB2312"/>
          <w:spacing w:val="-4"/>
          <w:sz w:val="28"/>
          <w:szCs w:val="28"/>
          <w:lang w:eastAsia="zh-CN"/>
        </w:rPr>
        <w:t>本合同一式陆份，自双方签章之日起生效。</w:t>
      </w:r>
      <w:r>
        <w:rPr>
          <w:rFonts w:hint="eastAsia" w:ascii="仿宋_GB2312" w:hAnsi="仿宋_GB2312" w:eastAsia="仿宋_GB2312" w:cs="仿宋_GB2312"/>
          <w:spacing w:val="-4"/>
          <w:sz w:val="28"/>
          <w:szCs w:val="28"/>
        </w:rPr>
        <w:t>甲方肆份，乙方贰份。</w:t>
      </w:r>
      <w:bookmarkEnd w:id="0"/>
    </w:p>
    <w:p w14:paraId="2DE54F74">
      <w:pPr>
        <w:spacing w:line="360" w:lineRule="auto"/>
        <w:rPr>
          <w:rFonts w:ascii="仿宋" w:hAnsi="仿宋" w:eastAsia="仿宋" w:cs="仿宋"/>
        </w:rPr>
      </w:pPr>
      <w:r>
        <w:rPr>
          <w:rFonts w:hint="eastAsia" w:ascii="仿宋" w:hAnsi="仿宋" w:eastAsia="仿宋" w:cs="仿宋"/>
        </w:rPr>
        <w:t xml:space="preserve"> </w:t>
      </w:r>
    </w:p>
    <w:tbl>
      <w:tblPr>
        <w:tblStyle w:val="6"/>
        <w:tblpPr w:leftFromText="180" w:rightFromText="180" w:vertAnchor="text" w:horzAnchor="page" w:tblpX="1976" w:tblpY="86"/>
        <w:tblOverlap w:val="never"/>
        <w:tblW w:w="5087" w:type="pct"/>
        <w:tblInd w:w="0" w:type="dxa"/>
        <w:tblLayout w:type="autofit"/>
        <w:tblCellMar>
          <w:top w:w="0" w:type="dxa"/>
          <w:left w:w="108" w:type="dxa"/>
          <w:bottom w:w="0" w:type="dxa"/>
          <w:right w:w="108" w:type="dxa"/>
        </w:tblCellMar>
      </w:tblPr>
      <w:tblGrid>
        <w:gridCol w:w="5855"/>
        <w:gridCol w:w="3589"/>
      </w:tblGrid>
      <w:tr w14:paraId="2BBC6149">
        <w:tblPrEx>
          <w:tblCellMar>
            <w:top w:w="0" w:type="dxa"/>
            <w:left w:w="108" w:type="dxa"/>
            <w:bottom w:w="0" w:type="dxa"/>
            <w:right w:w="108" w:type="dxa"/>
          </w:tblCellMar>
        </w:tblPrEx>
        <w:trPr>
          <w:trHeight w:val="112" w:hRule="atLeast"/>
        </w:trPr>
        <w:tc>
          <w:tcPr>
            <w:tcW w:w="3100" w:type="pct"/>
            <w:noWrap w:val="0"/>
            <w:vAlign w:val="center"/>
          </w:tcPr>
          <w:p w14:paraId="768750F4">
            <w:pPr>
              <w:tabs>
                <w:tab w:val="left" w:pos="7665"/>
              </w:tabs>
              <w:spacing w:line="40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甲方单位：四川铁道职业学院（盖章）</w:t>
            </w:r>
          </w:p>
          <w:p w14:paraId="4956DE9E">
            <w:pPr>
              <w:tabs>
                <w:tab w:val="left" w:pos="7665"/>
              </w:tabs>
              <w:spacing w:line="40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法定代表人</w:t>
            </w:r>
          </w:p>
          <w:p w14:paraId="7C05527C">
            <w:pPr>
              <w:tabs>
                <w:tab w:val="left" w:pos="7665"/>
              </w:tabs>
              <w:spacing w:line="40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 xml:space="preserve">或授权委托人:   </w:t>
            </w:r>
          </w:p>
          <w:p w14:paraId="671427F7">
            <w:pPr>
              <w:spacing w:line="40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地址：成都市郫都区安德街道彭温路399号</w:t>
            </w:r>
          </w:p>
          <w:p w14:paraId="63142AA1">
            <w:pPr>
              <w:tabs>
                <w:tab w:val="left" w:pos="7665"/>
              </w:tabs>
              <w:spacing w:line="40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 xml:space="preserve">电话：028-      </w:t>
            </w:r>
          </w:p>
          <w:p w14:paraId="725B87E3">
            <w:pPr>
              <w:tabs>
                <w:tab w:val="left" w:pos="7665"/>
              </w:tabs>
              <w:spacing w:line="40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开户银行：中国建设银行郫都支行</w:t>
            </w:r>
          </w:p>
          <w:p w14:paraId="573E6B1E">
            <w:pPr>
              <w:tabs>
                <w:tab w:val="left" w:pos="7665"/>
              </w:tabs>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账号：51001597208051513002</w:t>
            </w:r>
          </w:p>
        </w:tc>
        <w:tc>
          <w:tcPr>
            <w:tcW w:w="1900" w:type="pct"/>
            <w:noWrap w:val="0"/>
            <w:vAlign w:val="center"/>
          </w:tcPr>
          <w:p w14:paraId="22ABBE18">
            <w:pPr>
              <w:tabs>
                <w:tab w:val="left" w:pos="7665"/>
              </w:tabs>
              <w:spacing w:line="40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乙方单位：      （盖章）</w:t>
            </w:r>
          </w:p>
          <w:p w14:paraId="1EBEF75D">
            <w:pPr>
              <w:tabs>
                <w:tab w:val="left" w:pos="7665"/>
              </w:tabs>
              <w:spacing w:line="40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法定代表人</w:t>
            </w:r>
          </w:p>
          <w:p w14:paraId="6B219E8C">
            <w:pPr>
              <w:tabs>
                <w:tab w:val="left" w:pos="7665"/>
              </w:tabs>
              <w:spacing w:line="40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 xml:space="preserve">或授权委托人:    </w:t>
            </w:r>
          </w:p>
          <w:p w14:paraId="2E4A06E4">
            <w:pPr>
              <w:tabs>
                <w:tab w:val="left" w:pos="7665"/>
              </w:tabs>
              <w:spacing w:line="400" w:lineRule="exact"/>
              <w:rPr>
                <w:rFonts w:ascii="仿宋_GB2312" w:hAnsi="仿宋_GB2312" w:eastAsia="仿宋_GB2312" w:cs="仿宋_GB2312"/>
                <w:sz w:val="24"/>
                <w:lang w:eastAsia="zh-CN"/>
              </w:rPr>
            </w:pPr>
            <w:r>
              <w:rPr>
                <w:rFonts w:hint="eastAsia" w:ascii="仿宋_GB2312" w:hAnsi="仿宋_GB2312" w:eastAsia="仿宋_GB2312" w:cs="仿宋_GB2312"/>
                <w:sz w:val="24"/>
                <w:szCs w:val="24"/>
                <w:lang w:eastAsia="zh-CN"/>
              </w:rPr>
              <w:t>地址：</w:t>
            </w:r>
          </w:p>
          <w:p w14:paraId="54191F72">
            <w:pPr>
              <w:tabs>
                <w:tab w:val="left" w:pos="7665"/>
              </w:tabs>
              <w:spacing w:line="40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lang w:eastAsia="zh-CN"/>
              </w:rPr>
              <w:t>企业规模：</w:t>
            </w:r>
            <w:r>
              <w:rPr>
                <w:rFonts w:hint="eastAsia" w:ascii="仿宋_GB2312" w:hAnsi="仿宋_GB2312" w:eastAsia="仿宋_GB2312" w:cs="仿宋_GB2312"/>
                <w:sz w:val="24"/>
                <w:szCs w:val="24"/>
                <w:lang w:eastAsia="zh-CN"/>
              </w:rPr>
              <w:t xml:space="preserve">      </w:t>
            </w:r>
          </w:p>
          <w:p w14:paraId="044A779B">
            <w:pPr>
              <w:tabs>
                <w:tab w:val="left" w:pos="7665"/>
              </w:tabs>
              <w:spacing w:line="40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 xml:space="preserve">电话：      </w:t>
            </w:r>
          </w:p>
          <w:p w14:paraId="2567D98F">
            <w:pPr>
              <w:tabs>
                <w:tab w:val="left" w:pos="7665"/>
              </w:tabs>
              <w:spacing w:line="400" w:lineRule="exact"/>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 xml:space="preserve">开户银行：      </w:t>
            </w:r>
          </w:p>
          <w:p w14:paraId="15B13D41">
            <w:pPr>
              <w:tabs>
                <w:tab w:val="left" w:pos="7665"/>
              </w:tabs>
              <w:spacing w:line="400" w:lineRule="exact"/>
              <w:rPr>
                <w:rFonts w:ascii="仿宋_GB2312" w:hAnsi="仿宋_GB2312" w:eastAsia="仿宋_GB2312" w:cs="仿宋_GB2312"/>
                <w:sz w:val="24"/>
                <w:lang w:eastAsia="zh-CN"/>
              </w:rPr>
            </w:pPr>
            <w:r>
              <w:rPr>
                <w:rFonts w:hint="eastAsia" w:ascii="仿宋_GB2312" w:hAnsi="仿宋_GB2312" w:eastAsia="仿宋_GB2312" w:cs="仿宋_GB2312"/>
                <w:sz w:val="24"/>
                <w:szCs w:val="24"/>
                <w:lang w:eastAsia="zh-CN"/>
              </w:rPr>
              <w:t xml:space="preserve">账号： </w:t>
            </w:r>
          </w:p>
          <w:p w14:paraId="22B7A2D9">
            <w:pPr>
              <w:tabs>
                <w:tab w:val="left" w:pos="7665"/>
              </w:tabs>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rPr>
              <w:t>行号：</w:t>
            </w:r>
            <w:r>
              <w:rPr>
                <w:rFonts w:hint="eastAsia" w:ascii="仿宋_GB2312" w:hAnsi="仿宋_GB2312" w:eastAsia="仿宋_GB2312" w:cs="仿宋_GB2312"/>
                <w:sz w:val="24"/>
                <w:szCs w:val="24"/>
              </w:rPr>
              <w:t xml:space="preserve">    </w:t>
            </w:r>
          </w:p>
        </w:tc>
      </w:tr>
    </w:tbl>
    <w:p w14:paraId="539D0188">
      <w:pPr>
        <w:spacing w:line="360" w:lineRule="auto"/>
      </w:pPr>
    </w:p>
    <w:p w14:paraId="45F340AB">
      <w:pPr>
        <w:pStyle w:val="3"/>
        <w:spacing w:line="360" w:lineRule="auto"/>
        <w:ind w:firstLine="480" w:firstLineChars="200"/>
        <w:rPr>
          <w:lang w:eastAsia="zh-CN"/>
        </w:rPr>
      </w:pPr>
    </w:p>
    <w:p w14:paraId="2952244D"/>
    <w:sectPr>
      <w:footerReference r:id="rId3" w:type="default"/>
      <w:pgSz w:w="11900" w:h="16840"/>
      <w:pgMar w:top="1440" w:right="1417" w:bottom="1440" w:left="1417" w:header="1134" w:footer="10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CDF1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17DFA1">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E17DFA1">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32F"/>
    <w:rsid w:val="00005E0E"/>
    <w:rsid w:val="002C2DC1"/>
    <w:rsid w:val="00477139"/>
    <w:rsid w:val="0061432F"/>
    <w:rsid w:val="007C7C96"/>
    <w:rsid w:val="007F7446"/>
    <w:rsid w:val="008D68D1"/>
    <w:rsid w:val="008F6E30"/>
    <w:rsid w:val="00993C7A"/>
    <w:rsid w:val="00B34180"/>
    <w:rsid w:val="00B822BA"/>
    <w:rsid w:val="00E0394F"/>
    <w:rsid w:val="00F17E86"/>
    <w:rsid w:val="00FD0194"/>
    <w:rsid w:val="09F82E27"/>
    <w:rsid w:val="147E3858"/>
    <w:rsid w:val="2F890FB0"/>
    <w:rsid w:val="3903589B"/>
    <w:rsid w:val="76CC205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w:basedOn w:val="1"/>
    <w:link w:val="8"/>
    <w:semiHidden/>
    <w:qFormat/>
    <w:uiPriority w:val="0"/>
    <w:rPr>
      <w:rFonts w:ascii="宋体" w:hAnsi="宋体" w:eastAsia="宋体" w:cs="宋体"/>
      <w:sz w:val="24"/>
      <w:szCs w:val="24"/>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tabs>
        <w:tab w:val="center" w:pos="4153"/>
        <w:tab w:val="right" w:pos="8306"/>
      </w:tabs>
      <w:snapToGrid w:val="0"/>
      <w:jc w:val="center"/>
    </w:pPr>
    <w:rPr>
      <w:sz w:val="18"/>
      <w:szCs w:val="18"/>
    </w:rPr>
  </w:style>
  <w:style w:type="character" w:customStyle="1" w:styleId="8">
    <w:name w:val="正文文本 字符"/>
    <w:link w:val="3"/>
    <w:semiHidden/>
    <w:qFormat/>
    <w:uiPriority w:val="0"/>
    <w:rPr>
      <w:rFonts w:ascii="宋体" w:hAnsi="宋体" w:eastAsia="宋体" w:cs="宋体"/>
      <w:snapToGrid/>
      <w:color w:val="000000"/>
      <w:kern w:val="0"/>
      <w:sz w:val="24"/>
      <w:szCs w:val="24"/>
      <w:lang w:eastAsia="en-US"/>
    </w:rPr>
  </w:style>
  <w:style w:type="character" w:customStyle="1" w:styleId="9">
    <w:name w:val="页脚 字符"/>
    <w:link w:val="4"/>
    <w:qFormat/>
    <w:uiPriority w:val="99"/>
    <w:rPr>
      <w:sz w:val="18"/>
      <w:szCs w:val="18"/>
    </w:rPr>
  </w:style>
  <w:style w:type="character" w:customStyle="1" w:styleId="10">
    <w:name w:val="页眉 字符"/>
    <w:link w:val="5"/>
    <w:qFormat/>
    <w:uiPriority w:val="99"/>
    <w:rPr>
      <w:sz w:val="18"/>
      <w:szCs w:val="18"/>
    </w:rPr>
  </w:style>
  <w:style w:type="paragraph" w:customStyle="1" w:styleId="11">
    <w:name w:val="Table Text"/>
    <w:basedOn w:val="1"/>
    <w:semiHidden/>
    <w:qFormat/>
    <w:uiPriority w:val="0"/>
    <w:rPr>
      <w:rFonts w:ascii="宋体" w:hAnsi="宋体" w:eastAsia="宋体" w:cs="宋体"/>
      <w:sz w:val="24"/>
      <w:szCs w:val="24"/>
    </w:rPr>
  </w:style>
  <w:style w:type="paragraph" w:customStyle="1" w:styleId="12">
    <w:name w:val="_Style 11"/>
    <w:hidden/>
    <w:unhideWhenUsed/>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3145</Words>
  <Characters>3283</Characters>
  <Lines>95</Lines>
  <Paragraphs>98</Paragraphs>
  <TotalTime>1</TotalTime>
  <ScaleCrop>false</ScaleCrop>
  <LinksUpToDate>false</LinksUpToDate>
  <CharactersWithSpaces>3439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2025-11-25T08:17:00Z</dcterms:created>
  <dc:creator>LuHuiQin</dc:creator>
  <cp:lastModifiedBy>邵逸龙</cp:lastModifiedBy>
  <dcterms:modified xsi:type="dcterms:W3CDTF">2025-12-17T06:54:42Z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eyJoZGlkIjoiNWY4YWU1NTA1NmFjOWRmNWQzYzcyMmU2ZTZmZTE2YzciLCJ1c2VySWQiOiI5NDgyOTE5MjcifQ==</vt:lpwstr>
  </property>
  <property fmtid="{D5CDD505-2E9C-101B-9397-08002B2CF9AE}" pid="4" name="ICV">
    <vt:lpwstr>3F91763935E84212984F61F2CE79E351_13</vt:lpwstr>
  </property>
</Properties>
</file>